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u w:val="none" w:color="FF0000"/>
        </w:rPr>
      </w:pPr>
      <w:r>
        <w:rPr>
          <w:b/>
          <w:u w:val="none" w:color="FF0000"/>
        </w:rPr>
        <w:t>ALLEGATO 3</w:t>
      </w:r>
    </w:p>
    <w:p>
      <w:pPr>
        <w:pStyle w:val="Normal"/>
        <w:jc w:val="right"/>
        <w:rPr>
          <w:b/>
          <w:b/>
          <w:u w:val="none" w:color="FF0000"/>
        </w:rPr>
      </w:pPr>
      <w:r>
        <w:rPr>
          <w:b/>
          <w:u w:val="none" w:color="FF0000"/>
        </w:rPr>
        <w:t xml:space="preserve">Al Dirigente Scolastico </w:t>
      </w:r>
    </w:p>
    <w:p>
      <w:pPr>
        <w:pStyle w:val="Normal"/>
        <w:jc w:val="right"/>
        <w:rPr>
          <w:b/>
          <w:b/>
          <w:u w:val="none" w:color="FF0000"/>
        </w:rPr>
      </w:pPr>
      <w:r>
        <w:rPr>
          <w:b/>
          <w:u w:val="none" w:color="FF0000"/>
        </w:rPr>
        <w:t>Dell’I.C. “La Pira Gentiluomo” Messina</w:t>
      </w:r>
    </w:p>
    <w:p>
      <w:pPr>
        <w:pStyle w:val="Normal"/>
        <w:jc w:val="both"/>
        <w:rPr>
          <w:b/>
          <w:b/>
          <w:u w:val="none" w:color="FF0000"/>
        </w:rPr>
      </w:pPr>
      <w:r>
        <w:rPr>
          <w:b/>
          <w:u w:val="none" w:color="FF0000"/>
        </w:rPr>
      </w:r>
    </w:p>
    <w:p>
      <w:pPr>
        <w:pStyle w:val="Normal"/>
        <w:jc w:val="both"/>
        <w:rPr>
          <w:b/>
          <w:b/>
          <w:u w:val="none" w:color="FF0000"/>
        </w:rPr>
      </w:pPr>
      <w:r>
        <w:rPr>
          <w:b/>
          <w:u w:val="none" w:color="FF0000"/>
        </w:rPr>
      </w:r>
    </w:p>
    <w:p>
      <w:pPr>
        <w:pStyle w:val="Normal"/>
        <w:jc w:val="both"/>
        <w:rPr>
          <w:b/>
          <w:b/>
          <w:u w:val="none" w:color="FF0000"/>
        </w:rPr>
      </w:pPr>
      <w:r>
        <w:rPr>
          <w:b/>
          <w:u w:val="none" w:color="FF0000"/>
        </w:rPr>
        <w:t>DICHIARAZIONE PERSONALE AI SENSI DELL’ART. 13 - SISTEMA DELLE PRECEDENZE  ED ESCLUSIONE DALLA GRADUATORIA INTERNA D’ISTITUTO CCNI 20</w:t>
      </w:r>
      <w:r>
        <w:rPr>
          <w:rFonts w:eastAsia="Times New Roman"/>
          <w:b/>
          <w:sz w:val="20"/>
          <w:szCs w:val="20"/>
          <w:u w:val="none" w:color="FF0000"/>
        </w:rPr>
        <w:t>22</w:t>
      </w:r>
      <w:r>
        <w:rPr>
          <w:b/>
          <w:u w:val="none" w:color="FF0000"/>
        </w:rPr>
        <w:t>/202</w:t>
      </w:r>
      <w:r>
        <w:rPr>
          <w:rFonts w:eastAsia="Times New Roman"/>
          <w:b/>
          <w:sz w:val="20"/>
          <w:szCs w:val="20"/>
          <w:u w:val="none" w:color="FF0000"/>
        </w:rPr>
        <w:t>5</w:t>
      </w:r>
    </w:p>
    <w:p>
      <w:pPr>
        <w:pStyle w:val="Normal"/>
        <w:jc w:val="both"/>
        <w:rPr>
          <w:b/>
          <w:b/>
          <w:u w:val="none" w:color="FF0000"/>
        </w:rPr>
      </w:pPr>
      <w:r>
        <w:rPr>
          <w:b/>
          <w:u w:val="none" w:color="FF0000"/>
        </w:rPr>
      </w:r>
    </w:p>
    <w:tbl>
      <w:tblPr>
        <w:tblW w:w="5000" w:type="pct"/>
        <w:jc w:val="left"/>
        <w:tblInd w:w="0" w:type="dxa"/>
        <w:tblCellMar>
          <w:top w:w="0" w:type="dxa"/>
          <w:left w:w="108" w:type="dxa"/>
          <w:bottom w:w="0" w:type="dxa"/>
          <w:right w:w="108" w:type="dxa"/>
        </w:tblCellMar>
        <w:tblLook w:val="00a0"/>
      </w:tblPr>
      <w:tblGrid>
        <w:gridCol w:w="3349"/>
        <w:gridCol w:w="2173"/>
        <w:gridCol w:w="2231"/>
        <w:gridCol w:w="2169"/>
      </w:tblGrid>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Il/la sottoscritto/a</w:t>
            </w:r>
          </w:p>
        </w:tc>
        <w:tc>
          <w:tcPr>
            <w:tcW w:w="657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nato/a</w:t>
            </w:r>
          </w:p>
        </w:tc>
        <w:tc>
          <w:tcPr>
            <w:tcW w:w="2173"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c>
          <w:tcPr>
            <w:tcW w:w="2231"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Il</w:t>
            </w:r>
          </w:p>
        </w:tc>
        <w:tc>
          <w:tcPr>
            <w:tcW w:w="216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residente a</w:t>
            </w:r>
          </w:p>
        </w:tc>
        <w:tc>
          <w:tcPr>
            <w:tcW w:w="657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In via/piazza/n. civico</w:t>
            </w:r>
          </w:p>
        </w:tc>
        <w:tc>
          <w:tcPr>
            <w:tcW w:w="657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w:t>
            </w:r>
            <w:r>
              <w:rPr/>
              <w:t>docente del settore</w:t>
            </w:r>
          </w:p>
        </w:tc>
        <w:tc>
          <w:tcPr>
            <w:tcW w:w="657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t>□</w:t>
            </w:r>
            <w:r>
              <w:rPr/>
              <w:t>classe di concorso</w:t>
            </w:r>
          </w:p>
        </w:tc>
        <w:tc>
          <w:tcPr>
            <w:tcW w:w="657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360"/>
              <w:jc w:val="right"/>
              <w:rPr/>
            </w:pPr>
            <w:r>
              <w:rPr/>
              <w:t>□</w:t>
            </w:r>
            <w:r>
              <w:rPr/>
              <w:t>Personale ATA con la seguente qualifica</w:t>
            </w:r>
          </w:p>
        </w:tc>
        <w:tc>
          <w:tcPr>
            <w:tcW w:w="6573"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360"/>
              <w:jc w:val="right"/>
              <w:rPr>
                <w:b/>
                <w:b/>
              </w:rPr>
            </w:pPr>
            <w:r>
              <w:rPr>
                <w:b/>
              </w:rPr>
            </w:r>
          </w:p>
        </w:tc>
      </w:tr>
    </w:tbl>
    <w:p>
      <w:pPr>
        <w:pStyle w:val="Normal"/>
        <w:jc w:val="both"/>
        <w:rPr>
          <w:b/>
          <w:b/>
          <w:u w:val="none" w:color="FF0000"/>
        </w:rPr>
      </w:pPr>
      <w:r>
        <w:rPr>
          <w:b/>
          <w:u w:val="none" w:color="FF0000"/>
        </w:rPr>
      </w:r>
    </w:p>
    <w:p>
      <w:pPr>
        <w:pStyle w:val="Normal"/>
        <w:jc w:val="center"/>
        <w:rPr>
          <w:b/>
          <w:b/>
          <w:u w:val="none" w:color="FF0000"/>
        </w:rPr>
      </w:pPr>
      <w:r>
        <w:rPr>
          <w:b/>
          <w:u w:val="none" w:color="FF0000"/>
        </w:rPr>
        <w:t>DICHIARO</w:t>
      </w:r>
    </w:p>
    <w:p>
      <w:pPr>
        <w:pStyle w:val="Normal"/>
        <w:jc w:val="center"/>
        <w:rPr>
          <w:b/>
          <w:b/>
          <w:u w:val="none" w:color="FF0000"/>
        </w:rPr>
      </w:pPr>
      <w:r>
        <w:rPr>
          <w:b/>
          <w:u w:val="none" w:color="FF0000"/>
        </w:rPr>
      </w:r>
    </w:p>
    <w:p>
      <w:pPr>
        <w:pStyle w:val="Normal"/>
        <w:jc w:val="both"/>
        <w:rPr>
          <w:u w:val="none" w:color="FF0000"/>
        </w:rPr>
      </w:pPr>
      <w:r>
        <w:rPr>
          <w:u w:val="none" w:color="FF0000"/>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pPr>
        <w:pStyle w:val="Normal"/>
        <w:jc w:val="both"/>
        <w:rPr>
          <w:u w:val="none" w:color="FF0000"/>
        </w:rPr>
      </w:pPr>
      <w:r>
        <w:rPr>
          <w:u w:val="none" w:color="FF0000"/>
        </w:rPr>
      </w:r>
    </w:p>
    <w:p>
      <w:pPr>
        <w:pStyle w:val="Normal"/>
        <w:jc w:val="both"/>
        <w:rPr>
          <w:b/>
          <w:b/>
          <w:u w:val="none" w:color="FF0000"/>
        </w:rPr>
      </w:pPr>
      <w:r>
        <w:rPr>
          <w:u w:val="none" w:color="FF0000"/>
        </w:rPr>
        <w:t xml:space="preserve">di essere beneficiario/a delle precedenze previste al seguente punto di cui al citato </w:t>
      </w:r>
      <w:r>
        <w:rPr>
          <w:b/>
          <w:u w:val="none" w:color="FF0000"/>
        </w:rPr>
        <w:t>art. 13</w:t>
      </w:r>
      <w:r>
        <w:rPr>
          <w:u w:val="none" w:color="FF0000"/>
        </w:rPr>
        <w:t xml:space="preserve"> - </w:t>
      </w:r>
      <w:r>
        <w:rPr>
          <w:b/>
          <w:u w:val="none" w:color="FF0000"/>
        </w:rPr>
        <w:t xml:space="preserve"> SISTEMA DELLE PRECEDENZE  ED ESCLUSIONE DALLA GRADUATORIA INTERNA D’ISTITUTO CCNI 20</w:t>
      </w:r>
      <w:r>
        <w:rPr>
          <w:rFonts w:eastAsia="Times New Roman"/>
          <w:b/>
          <w:sz w:val="20"/>
          <w:szCs w:val="20"/>
          <w:u w:val="none" w:color="FF0000"/>
        </w:rPr>
        <w:t>22</w:t>
      </w:r>
      <w:r>
        <w:rPr>
          <w:b/>
          <w:u w:val="none" w:color="FF0000"/>
        </w:rPr>
        <w:t>/</w:t>
      </w:r>
      <w:r>
        <w:rPr>
          <w:rFonts w:eastAsia="Times New Roman"/>
          <w:b/>
          <w:sz w:val="20"/>
          <w:szCs w:val="20"/>
          <w:u w:val="none" w:color="FF0000"/>
        </w:rPr>
        <w:t>25</w:t>
      </w:r>
    </w:p>
    <w:p>
      <w:pPr>
        <w:pStyle w:val="Normal"/>
        <w:jc w:val="both"/>
        <w:rPr>
          <w:u w:val="none" w:color="FF0000"/>
        </w:rPr>
      </w:pPr>
      <w:r>
        <w:rPr>
          <w:u w:val="none" w:color="FF0000"/>
        </w:rPr>
      </w:r>
    </w:p>
    <w:tbl>
      <w:tblPr>
        <w:tblW w:w="5000" w:type="pct"/>
        <w:jc w:val="left"/>
        <w:tblInd w:w="0" w:type="dxa"/>
        <w:tblCellMar>
          <w:top w:w="0" w:type="dxa"/>
          <w:left w:w="108" w:type="dxa"/>
          <w:bottom w:w="0" w:type="dxa"/>
          <w:right w:w="108" w:type="dxa"/>
        </w:tblCellMar>
        <w:tblLook w:val="00a0"/>
      </w:tblPr>
      <w:tblGrid>
        <w:gridCol w:w="415"/>
        <w:gridCol w:w="2049"/>
        <w:gridCol w:w="330"/>
        <w:gridCol w:w="7128"/>
      </w:tblGrid>
      <w:tr>
        <w:trPr>
          <w:trHeight w:val="319" w:hRule="atLeast"/>
        </w:trPr>
        <w:tc>
          <w:tcPr>
            <w:tcW w:w="415" w:type="dxa"/>
            <w:vMerge w:val="restart"/>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2049" w:type="dxa"/>
            <w:vMerge w:val="restart"/>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t>I) DISABILITA’ E GRAVI MOTIVI DI SALUTE</w:t>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1) personale scolastico docente non vedente (art. 3 della Legge 28 marzo 1991 n. 120);</w:t>
            </w:r>
          </w:p>
        </w:tc>
      </w:tr>
      <w:tr>
        <w:trPr>
          <w:trHeight w:val="134" w:hRule="atLeast"/>
        </w:trPr>
        <w:tc>
          <w:tcPr>
            <w:tcW w:w="415"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2049" w:type="dxa"/>
            <w:vMerge w:val="continue"/>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 xml:space="preserve">2) personale emodializzato (art. 61 della Legge 270/82). </w:t>
            </w:r>
          </w:p>
        </w:tc>
      </w:tr>
      <w:tr>
        <w:trPr>
          <w:trHeight w:val="849" w:hRule="atLeast"/>
        </w:trPr>
        <w:tc>
          <w:tcPr>
            <w:tcW w:w="415" w:type="dxa"/>
            <w:vMerge w:val="restart"/>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2049" w:type="dxa"/>
            <w:vMerge w:val="restart"/>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t>III) PERSONALE CON DISABILITA’ E PERSONALE CHE HA BISOGNO DI PARTICOLARI CURE CONTINUATIVE</w:t>
            </w:r>
          </w:p>
          <w:p>
            <w:pPr>
              <w:pStyle w:val="Normal"/>
              <w:rPr>
                <w:u w:val="none" w:color="FF0000"/>
              </w:rPr>
            </w:pPr>
            <w:r>
              <w:rPr>
                <w:u w:val="none" w:color="FF0000"/>
              </w:rPr>
            </w:r>
          </w:p>
          <w:p>
            <w:pPr>
              <w:pStyle w:val="Normal"/>
              <w:rPr>
                <w:u w:val="none" w:color="FF0000"/>
              </w:rPr>
            </w:pPr>
            <w:r>
              <w:rPr>
                <w:u w:val="none" w:color="FF0000"/>
              </w:rPr>
              <w:t>.</w:t>
            </w:r>
          </w:p>
          <w:p>
            <w:pPr>
              <w:pStyle w:val="Normal"/>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trPr>
          <w:trHeight w:val="1377" w:hRule="atLeast"/>
        </w:trPr>
        <w:tc>
          <w:tcPr>
            <w:tcW w:w="415"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2049" w:type="dxa"/>
            <w:vMerge w:val="continue"/>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trPr>
          <w:trHeight w:val="457" w:hRule="atLeast"/>
        </w:trPr>
        <w:tc>
          <w:tcPr>
            <w:tcW w:w="415"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2049" w:type="dxa"/>
            <w:vMerge w:val="continue"/>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3) personale appartenente alle categorie previste dal comma 6, dell'art. 33 della legge n. 104/92, richiamato dall'art. 601, del D.L.vo n. 297/94.</w:t>
            </w:r>
          </w:p>
        </w:tc>
      </w:tr>
      <w:tr>
        <w:trPr>
          <w:trHeight w:val="101" w:hRule="atLeast"/>
        </w:trPr>
        <w:tc>
          <w:tcPr>
            <w:tcW w:w="415" w:type="dxa"/>
            <w:vMerge w:val="restart"/>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2049" w:type="dxa"/>
            <w:vMerge w:val="restart"/>
            <w:tcBorders>
              <w:top w:val="single" w:sz="4" w:space="0" w:color="000000"/>
              <w:left w:val="single" w:sz="4" w:space="0" w:color="000000"/>
              <w:bottom w:val="single" w:sz="4" w:space="0" w:color="000000"/>
              <w:right w:val="single" w:sz="4" w:space="0" w:color="000000"/>
            </w:tcBorders>
          </w:tcPr>
          <w:p>
            <w:pPr>
              <w:pStyle w:val="Normal"/>
              <w:rPr>
                <w:u w:val="none" w:color="FF0000"/>
              </w:rPr>
            </w:pPr>
            <w:r>
              <w:rPr>
                <w:u w:val="none" w:color="FF0000"/>
              </w:rPr>
              <w:t>V) ASSISTENZA</w:t>
            </w:r>
          </w:p>
          <w:p>
            <w:pPr>
              <w:pStyle w:val="Normal"/>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ASSISTENZA AL CONIUGE, ED AL FIGLIO CON DISABILITA’</w:t>
            </w:r>
          </w:p>
        </w:tc>
      </w:tr>
      <w:tr>
        <w:trPr>
          <w:trHeight w:val="134" w:hRule="atLeast"/>
        </w:trPr>
        <w:tc>
          <w:tcPr>
            <w:tcW w:w="415"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2049"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ASSISTENZA DA PARTE DEL FIGLIO REFERENTE UNICO AL GENITORE CON DISABILITA’</w:t>
            </w:r>
          </w:p>
        </w:tc>
      </w:tr>
      <w:tr>
        <w:trPr>
          <w:trHeight w:val="70" w:hRule="atLeast"/>
        </w:trPr>
        <w:tc>
          <w:tcPr>
            <w:tcW w:w="415"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2049" w:type="dxa"/>
            <w:vMerge w:val="continue"/>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r>
          </w:p>
        </w:tc>
        <w:tc>
          <w:tcPr>
            <w:tcW w:w="330"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7128"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ASSISTENZA DA PARTE DI CHI ESERCITA LA TUTELA LEGALE</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w:t>
            </w:r>
          </w:p>
        </w:tc>
        <w:tc>
          <w:tcPr>
            <w:tcW w:w="9507" w:type="dxa"/>
            <w:gridSpan w:val="3"/>
            <w:tcBorders>
              <w:top w:val="single" w:sz="4" w:space="0" w:color="000000"/>
              <w:left w:val="single" w:sz="4" w:space="0" w:color="000000"/>
              <w:bottom w:val="single" w:sz="4" w:space="0" w:color="000000"/>
              <w:right w:val="single" w:sz="4" w:space="0" w:color="000000"/>
            </w:tcBorders>
          </w:tcPr>
          <w:p>
            <w:pPr>
              <w:pStyle w:val="Normal"/>
              <w:jc w:val="both"/>
              <w:rPr>
                <w:u w:val="none" w:color="FF0000"/>
              </w:rPr>
            </w:pPr>
            <w:r>
              <w:rPr>
                <w:u w:val="none" w:color="FF0000"/>
              </w:rPr>
              <w:t>VII) PERSONALE CHE RICOPRE CARICHE PUBBLICHE NELLE AMMINISTRAZIONI DEGLI ENTI LOCALI</w:t>
            </w:r>
          </w:p>
        </w:tc>
      </w:tr>
    </w:tbl>
    <w:p>
      <w:pPr>
        <w:pStyle w:val="Normal"/>
        <w:jc w:val="both"/>
        <w:rPr>
          <w:u w:val="none" w:color="FF0000"/>
        </w:rPr>
      </w:pPr>
      <w:r>
        <w:rPr>
          <w:u w:val="none" w:color="FF0000"/>
        </w:rPr>
      </w:r>
    </w:p>
    <w:p>
      <w:pPr>
        <w:pStyle w:val="Normal"/>
        <w:jc w:val="center"/>
        <w:rPr>
          <w:b/>
          <w:b/>
          <w:u w:val="none" w:color="FF0000"/>
        </w:rPr>
      </w:pPr>
      <w:r>
        <w:rPr>
          <w:b/>
          <w:u w:val="none" w:color="FF0000"/>
        </w:rPr>
        <w:t>CHIEDO</w:t>
      </w:r>
    </w:p>
    <w:p>
      <w:pPr>
        <w:pStyle w:val="Normal"/>
        <w:jc w:val="center"/>
        <w:rPr>
          <w:b/>
          <w:b/>
          <w:u w:val="none" w:color="FF0000"/>
        </w:rPr>
      </w:pPr>
      <w:r>
        <w:rPr>
          <w:b/>
          <w:u w:val="none" w:color="FF0000"/>
        </w:rPr>
      </w:r>
    </w:p>
    <w:p>
      <w:pPr>
        <w:pStyle w:val="Normal"/>
        <w:jc w:val="both"/>
        <w:rPr>
          <w:u w:val="none" w:color="FF0000"/>
        </w:rPr>
      </w:pPr>
      <w:r>
        <w:rPr>
          <w:u w:val="none" w:color="FF0000"/>
        </w:rPr>
        <w:t>Pertanto l’esclusione della graduatoria interna di istituto ai sensi della normativa vigente come da  documentazioni e  certificazioni presente agli atti della scuola.</w:t>
      </w:r>
    </w:p>
    <w:p>
      <w:pPr>
        <w:pStyle w:val="Normal"/>
        <w:jc w:val="both"/>
        <w:rPr>
          <w:u w:val="none" w:color="FF0000"/>
        </w:rPr>
      </w:pPr>
      <w:r>
        <w:rPr>
          <w:u w:val="none" w:color="FF0000"/>
        </w:rPr>
      </w:r>
    </w:p>
    <w:p>
      <w:pPr>
        <w:pStyle w:val="Normal"/>
        <w:jc w:val="both"/>
        <w:rPr>
          <w:u w:val="none" w:color="FF0000"/>
        </w:rPr>
      </w:pPr>
      <w:r>
        <w:rPr>
          <w:u w:val="none" w:color="FF0000"/>
        </w:rPr>
        <w:t>Messina ____/____/____</w:t>
      </w:r>
    </w:p>
    <w:p>
      <w:pPr>
        <w:pStyle w:val="Normal"/>
        <w:jc w:val="both"/>
        <w:rPr>
          <w:u w:val="none" w:color="FF0000"/>
        </w:rPr>
      </w:pPr>
      <w:r>
        <w:rPr>
          <w:u w:val="none" w:color="FF0000"/>
        </w:rPr>
      </w:r>
    </w:p>
    <w:p>
      <w:pPr>
        <w:pStyle w:val="Normal"/>
        <w:jc w:val="right"/>
        <w:rPr>
          <w:u w:val="none" w:color="FF0000"/>
        </w:rPr>
      </w:pPr>
      <w:r>
        <w:rPr>
          <w:u w:val="none" w:color="FF0000"/>
        </w:rPr>
        <w:t>FIRMA</w:t>
      </w:r>
    </w:p>
    <w:p>
      <w:pPr>
        <w:pStyle w:val="Normal"/>
        <w:jc w:val="right"/>
        <w:rPr>
          <w:u w:val="none" w:color="FF0000"/>
        </w:rPr>
      </w:pPr>
      <w:r>
        <w:rPr>
          <w:u w:val="none" w:color="FF0000"/>
        </w:rPr>
      </w:r>
    </w:p>
    <w:p>
      <w:pPr>
        <w:pStyle w:val="Normal"/>
        <w:jc w:val="right"/>
        <w:rPr>
          <w:u w:val="none" w:color="FF0000"/>
        </w:rPr>
      </w:pPr>
      <w:r>
        <w:rPr>
          <w:u w:val="none" w:color="FF0000"/>
        </w:rPr>
        <w:t>_________________________________</w:t>
      </w:r>
    </w:p>
    <w:p>
      <w:pPr>
        <w:pStyle w:val="Normal"/>
        <w:jc w:val="right"/>
        <w:rPr>
          <w:u w:val="none" w:color="FF0000"/>
        </w:rPr>
      </w:pPr>
      <w:r>
        <w:rPr>
          <w:u w:val="none" w:color="FF0000"/>
        </w:rPr>
      </w:r>
    </w:p>
    <w:p>
      <w:pPr>
        <w:pStyle w:val="Normal"/>
        <w:jc w:val="both"/>
        <w:rPr>
          <w:u w:val="none" w:color="FF0000"/>
        </w:rPr>
      </w:pPr>
      <w:r>
        <w:rPr>
          <w:u w:val="none" w:color="FF0000"/>
        </w:rPr>
      </w:r>
    </w:p>
    <w:p>
      <w:pPr>
        <w:pStyle w:val="Normal"/>
        <w:jc w:val="center"/>
        <w:rPr>
          <w:b/>
          <w:b/>
          <w:u w:val="none" w:color="FF0000"/>
        </w:rPr>
      </w:pPr>
      <w:r>
        <w:rPr>
          <w:b/>
          <w:u w:val="none" w:color="FF0000"/>
        </w:rPr>
      </w:r>
    </w:p>
    <w:p>
      <w:pPr>
        <w:pStyle w:val="Normal"/>
        <w:jc w:val="center"/>
        <w:rPr>
          <w:b/>
          <w:b/>
          <w:u w:val="none" w:color="FF0000"/>
        </w:rPr>
      </w:pPr>
      <w:r>
        <w:rPr>
          <w:b/>
          <w:u w:val="none" w:color="FF0000"/>
        </w:rPr>
      </w:r>
    </w:p>
    <w:p>
      <w:pPr>
        <w:pStyle w:val="Normal"/>
        <w:jc w:val="center"/>
        <w:rPr>
          <w:b/>
          <w:b/>
          <w:u w:val="none" w:color="FF0000"/>
        </w:rPr>
      </w:pPr>
      <w:r>
        <w:rPr>
          <w:b/>
          <w:u w:val="none" w:color="FF0000"/>
        </w:rPr>
        <w:t>ART. 13 - SISTEMA DELLE PRECEDENZE  ED ESCLUSIONE DALLA GRADUATORIA INTERNA D’ISTITUTO CCNI 20</w:t>
      </w:r>
      <w:r>
        <w:rPr>
          <w:b/>
          <w:u w:val="none" w:color="FF0000"/>
        </w:rPr>
        <w:t>22</w:t>
      </w:r>
      <w:r>
        <w:rPr>
          <w:b/>
          <w:u w:val="none" w:color="FF0000"/>
        </w:rPr>
        <w:t>-2</w:t>
      </w:r>
      <w:bookmarkStart w:id="0" w:name="_GoBack"/>
      <w:bookmarkEnd w:id="0"/>
      <w:r>
        <w:rPr>
          <w:b/>
          <w:u w:val="none" w:color="FF0000"/>
        </w:rPr>
        <w:t>5</w:t>
      </w:r>
    </w:p>
    <w:p>
      <w:pPr>
        <w:pStyle w:val="Normal"/>
        <w:jc w:val="both"/>
        <w:rPr>
          <w:u w:val="none" w:color="FF0000"/>
        </w:rPr>
      </w:pPr>
      <w:r>
        <w:rPr>
          <w:u w:val="none" w:color="FF0000"/>
        </w:rPr>
      </w:r>
    </w:p>
    <w:p>
      <w:pPr>
        <w:pStyle w:val="Normal"/>
        <w:jc w:val="both"/>
        <w:rPr>
          <w:u w:val="none" w:color="FF0000"/>
        </w:rPr>
      </w:pPr>
      <w:r>
        <w:rPr>
          <w:u w:val="none" w:color="FF0000"/>
        </w:rPr>
        <w:t>1. SISTEMA DELLE PRECEDENZE.</w:t>
      </w:r>
    </w:p>
    <w:p>
      <w:pPr>
        <w:pStyle w:val="Normal"/>
        <w:jc w:val="both"/>
        <w:rPr>
          <w:u w:val="none" w:color="FF0000"/>
        </w:rPr>
      </w:pPr>
      <w:r>
        <w:rPr>
          <w:u w:val="none" w:color="FF0000"/>
        </w:rPr>
        <w:t xml:space="preserve">Le precedenze riportate nel presente articolo sono raggruppate sistematicamente per categoria e sono funzionalmente inserite, </w:t>
      </w:r>
      <w:r>
        <w:rPr/>
        <w:t>secondo il seguente ordine di priorità</w:t>
      </w:r>
      <w:r>
        <w:rPr>
          <w:u w:val="none"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pPr>
        <w:pStyle w:val="Normal"/>
        <w:tabs>
          <w:tab w:val="clear" w:pos="708"/>
          <w:tab w:val="left" w:pos="3162" w:leader="none"/>
        </w:tabs>
        <w:jc w:val="both"/>
        <w:rPr>
          <w:u w:val="none" w:color="FF0000"/>
        </w:rPr>
      </w:pPr>
      <w:r>
        <w:rPr>
          <w:u w:val="none" w:color="FF0000"/>
        </w:rPr>
        <w:tab/>
      </w:r>
    </w:p>
    <w:p>
      <w:pPr>
        <w:pStyle w:val="Normal"/>
        <w:jc w:val="both"/>
        <w:rPr>
          <w:u w:val="none" w:color="FF0000"/>
        </w:rPr>
      </w:pPr>
      <w:r>
        <w:rPr>
          <w:u w:val="none" w:color="FF0000"/>
        </w:rPr>
        <w:t>I) DISABILITA’ E GRAVI MOTIVI DI SALUTE</w:t>
      </w:r>
    </w:p>
    <w:p>
      <w:pPr>
        <w:pStyle w:val="Normal"/>
        <w:jc w:val="both"/>
        <w:rPr>
          <w:u w:val="none" w:color="FF0000"/>
        </w:rPr>
      </w:pPr>
      <w:r>
        <w:rPr>
          <w:u w:val="none" w:color="FF0000"/>
        </w:rPr>
      </w:r>
    </w:p>
    <w:p>
      <w:pPr>
        <w:pStyle w:val="Normal"/>
        <w:jc w:val="both"/>
        <w:rPr>
          <w:u w:val="none" w:color="FF0000"/>
        </w:rPr>
      </w:pPr>
      <w:r>
        <w:rPr>
          <w:u w:val="none"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pPr>
        <w:pStyle w:val="Normal"/>
        <w:jc w:val="both"/>
        <w:rPr>
          <w:u w:val="none" w:color="FF0000"/>
        </w:rPr>
      </w:pPr>
      <w:r>
        <w:rPr>
          <w:u w:val="none" w:color="FF0000"/>
        </w:rPr>
        <w:t>1) personale scolastico docente non vedente (art. 3 della Legge 28 marzo 1991 n. 120);</w:t>
      </w:r>
    </w:p>
    <w:p>
      <w:pPr>
        <w:pStyle w:val="Normal"/>
        <w:jc w:val="both"/>
        <w:rPr>
          <w:u w:val="none" w:color="FF0000"/>
        </w:rPr>
      </w:pPr>
      <w:r>
        <w:rPr>
          <w:u w:val="none" w:color="FF0000"/>
        </w:rPr>
        <w:t xml:space="preserve">2) personale emodializzato (art. 61 della Legge 270/82). </w:t>
      </w:r>
    </w:p>
    <w:p>
      <w:pPr>
        <w:pStyle w:val="Normal"/>
        <w:jc w:val="both"/>
        <w:rPr>
          <w:u w:val="none" w:color="FF0000"/>
        </w:rPr>
      </w:pPr>
      <w:r>
        <w:rPr>
          <w:u w:val="none" w:color="FF0000"/>
        </w:rPr>
      </w:r>
    </w:p>
    <w:p>
      <w:pPr>
        <w:pStyle w:val="Normal"/>
        <w:jc w:val="both"/>
        <w:rPr>
          <w:u w:val="none" w:color="FF0000"/>
        </w:rPr>
      </w:pPr>
      <w:r>
        <w:rPr>
          <w:u w:val="none" w:color="FF0000"/>
        </w:rPr>
        <w:t>II) PERSONALE TRASFERITO D’UFFICIO NEGLI ULTIMI OTTO ANNI RICHIEDENTE IL RIENTRO NELLA SCUOLA O ISTITUTO DI PRECEDENTE TITOLARITA’</w:t>
      </w:r>
    </w:p>
    <w:p>
      <w:pPr>
        <w:pStyle w:val="Normal"/>
        <w:jc w:val="both"/>
        <w:rPr>
          <w:u w:val="none" w:color="FF0000"/>
        </w:rPr>
      </w:pPr>
      <w:r>
        <w:rPr>
          <w:u w:val="none" w:color="FF0000"/>
        </w:rPr>
      </w:r>
    </w:p>
    <w:p>
      <w:pPr>
        <w:pStyle w:val="Normal"/>
        <w:jc w:val="both"/>
        <w:rPr>
          <w:u w:val="none" w:color="FF0000"/>
        </w:rPr>
      </w:pPr>
      <w:r>
        <w:rPr>
          <w:u w:val="none"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pPr>
        <w:pStyle w:val="Normal"/>
        <w:jc w:val="both"/>
        <w:rPr>
          <w:u w:val="none" w:color="FF0000"/>
        </w:rPr>
      </w:pPr>
      <w:r>
        <w:rPr>
          <w:u w:val="none"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pPr>
        <w:pStyle w:val="Normal"/>
        <w:jc w:val="both"/>
        <w:rPr>
          <w:u w:val="none" w:color="FF0000"/>
        </w:rPr>
      </w:pPr>
      <w:r>
        <w:rPr>
          <w:u w:val="none"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pPr>
        <w:pStyle w:val="Normal"/>
        <w:jc w:val="both"/>
        <w:rPr>
          <w:u w:val="none" w:color="FF0000"/>
        </w:rPr>
      </w:pPr>
      <w:r>
        <w:rPr>
          <w:u w:val="none"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Pr/>
        <w:t xml:space="preserve">D.P.R. 29 ottobre 2012 n. 263, </w:t>
      </w:r>
      <w:r>
        <w:rPr>
          <w:u w:val="none"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pPr>
        <w:pStyle w:val="Normal"/>
        <w:jc w:val="both"/>
        <w:rPr>
          <w:u w:val="none" w:color="FF0000"/>
        </w:rPr>
      </w:pPr>
      <w:r>
        <w:rPr>
          <w:u w:val="none"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pPr>
        <w:pStyle w:val="Normal"/>
        <w:jc w:val="both"/>
        <w:rPr>
          <w:u w:val="none" w:color="FF0000"/>
        </w:rPr>
      </w:pPr>
      <w:r>
        <w:rPr>
          <w:u w:val="none"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pPr>
        <w:pStyle w:val="Normal"/>
        <w:jc w:val="both"/>
        <w:rPr>
          <w:u w:val="none" w:color="FF0000"/>
        </w:rPr>
      </w:pPr>
      <w:r>
        <w:rPr>
          <w:u w:val="none"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pPr>
        <w:pStyle w:val="Normal"/>
        <w:jc w:val="both"/>
        <w:rPr>
          <w:u w:val="none" w:color="FF0000"/>
        </w:rPr>
      </w:pPr>
      <w:r>
        <w:rPr>
          <w:u w:val="none"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pPr>
        <w:pStyle w:val="Normal"/>
        <w:jc w:val="both"/>
        <w:rPr>
          <w:u w:val="none" w:color="FF0000"/>
        </w:rPr>
      </w:pPr>
      <w:r>
        <w:rPr>
          <w:u w:val="none" w:color="FF0000"/>
        </w:rPr>
        <w:t>Permane, tuttavia, anche negli anni successivi, mantenendo il punteggio di continuità, il diritto al rientro nella scuola e nel comune di precedente titolarità, entro i limiti dell’ottennio iniziale.</w:t>
      </w:r>
    </w:p>
    <w:p>
      <w:pPr>
        <w:pStyle w:val="Normal"/>
        <w:jc w:val="both"/>
        <w:rPr>
          <w:u w:val="none" w:color="FF0000"/>
        </w:rPr>
      </w:pPr>
      <w:r>
        <w:rPr>
          <w:u w:val="none"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pPr>
        <w:pStyle w:val="Normal"/>
        <w:jc w:val="both"/>
        <w:rPr>
          <w:u w:val="none" w:color="FF0000"/>
        </w:rPr>
      </w:pPr>
      <w:r>
        <w:rPr>
          <w:u w:val="none" w:color="FF0000"/>
        </w:rPr>
      </w:r>
    </w:p>
    <w:p>
      <w:pPr>
        <w:pStyle w:val="Normal"/>
        <w:jc w:val="both"/>
        <w:rPr>
          <w:u w:val="none" w:color="FF0000"/>
        </w:rPr>
      </w:pPr>
      <w:r>
        <w:rPr>
          <w:u w:val="none" w:color="FF0000"/>
        </w:rPr>
        <w:t>III) PERSONALE CON DISABILITA’ E PERSONALE CHE HA BISOGNO DI PARTICOLARI CURE CONTINUATIVE</w:t>
      </w:r>
    </w:p>
    <w:p>
      <w:pPr>
        <w:pStyle w:val="Normal"/>
        <w:jc w:val="both"/>
        <w:rPr>
          <w:u w:val="none" w:color="FF0000"/>
        </w:rPr>
      </w:pPr>
      <w:r>
        <w:rPr>
          <w:u w:val="none" w:color="FF0000"/>
        </w:rPr>
      </w:r>
    </w:p>
    <w:p>
      <w:pPr>
        <w:pStyle w:val="Normal"/>
        <w:jc w:val="both"/>
        <w:rPr>
          <w:u w:val="none" w:color="FF0000"/>
        </w:rPr>
      </w:pPr>
      <w:r>
        <w:rPr>
          <w:u w:val="none" w:color="FF0000"/>
        </w:rPr>
        <w:t>Nel contesto delle procedure dei trasferimenti, e nell’ambito di ciascuna delle quattro fasi, viene riconosciuta la precedenza, nell’ordine, al personale scolastico che si trovi nelle seguenti condizioni:</w:t>
      </w:r>
    </w:p>
    <w:p>
      <w:pPr>
        <w:pStyle w:val="Normal"/>
        <w:jc w:val="both"/>
        <w:rPr>
          <w:u w:val="none" w:color="FF0000"/>
        </w:rPr>
      </w:pPr>
      <w:r>
        <w:rPr>
          <w:u w:val="none"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pPr>
        <w:pStyle w:val="Normal"/>
        <w:jc w:val="both"/>
        <w:rPr>
          <w:u w:val="none" w:color="FF0000"/>
        </w:rPr>
      </w:pPr>
      <w:r>
        <w:rPr>
          <w:u w:val="none"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pPr>
        <w:pStyle w:val="Normal"/>
        <w:jc w:val="both"/>
        <w:rPr>
          <w:u w:val="none" w:color="FF0000"/>
        </w:rPr>
      </w:pPr>
      <w:r>
        <w:rPr>
          <w:u w:val="none" w:color="FF0000"/>
        </w:rPr>
        <w:t>3) personale appartenente alle categorie previste dal comma 6, dell'art. 33 della legge n. 104/92, richiamato dall'art. 601, del D.L.vo n. 297/94.</w:t>
      </w:r>
    </w:p>
    <w:p>
      <w:pPr>
        <w:pStyle w:val="Normal"/>
        <w:jc w:val="both"/>
        <w:rPr>
          <w:u w:val="none" w:color="FF0000"/>
        </w:rPr>
      </w:pPr>
      <w:r>
        <w:rPr>
          <w:u w:val="none"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pPr>
        <w:pStyle w:val="Normal"/>
        <w:jc w:val="both"/>
        <w:rPr>
          <w:u w:val="none" w:color="FF0000"/>
        </w:rPr>
      </w:pPr>
      <w:r>
        <w:rPr>
          <w:u w:val="none" w:color="FF0000"/>
        </w:rPr>
        <w:t>Qualora la domanda preveda l’indicazione di ambiti territoriali andrà indicato per primo l’ambito corrispondente al predetto comune di residenza oppure alla parte di esso necessaria per l’assistenza.</w:t>
      </w:r>
    </w:p>
    <w:p>
      <w:pPr>
        <w:pStyle w:val="Normal"/>
        <w:jc w:val="both"/>
        <w:rPr>
          <w:u w:val="none" w:color="FF0000"/>
        </w:rPr>
      </w:pPr>
      <w:r>
        <w:rPr>
          <w:u w:val="none" w:color="FF0000"/>
        </w:rPr>
      </w:r>
    </w:p>
    <w:p>
      <w:pPr>
        <w:pStyle w:val="Normal"/>
        <w:jc w:val="both"/>
        <w:rPr>
          <w:u w:val="none" w:color="FF0000"/>
        </w:rPr>
      </w:pPr>
      <w:r>
        <w:rPr>
          <w:u w:val="none" w:color="FF0000"/>
        </w:rPr>
        <w:t>IV) PERSONALE TRASFERITO D’UFFICIO NEGLI ULTIMI OTTO ANNI RICHIEDENTE IL RIENTRO NEL COMUNE DI PRECEDENTE TITOLARITA’</w:t>
      </w:r>
    </w:p>
    <w:p>
      <w:pPr>
        <w:pStyle w:val="Normal"/>
        <w:jc w:val="both"/>
        <w:rPr>
          <w:u w:val="none" w:color="FF0000"/>
        </w:rPr>
      </w:pPr>
      <w:r>
        <w:rPr>
          <w:u w:val="none" w:color="FF0000"/>
        </w:rPr>
      </w:r>
    </w:p>
    <w:p>
      <w:pPr>
        <w:pStyle w:val="Normal"/>
        <w:jc w:val="both"/>
        <w:rPr>
          <w:u w:val="none" w:color="FF0000"/>
        </w:rPr>
      </w:pPr>
      <w:r>
        <w:rPr>
          <w:u w:val="none"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pPr>
        <w:pStyle w:val="Normal"/>
        <w:jc w:val="both"/>
        <w:rPr>
          <w:u w:val="none" w:color="FF0000"/>
        </w:rPr>
      </w:pPr>
      <w:r>
        <w:rPr>
          <w:u w:val="none"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pPr>
        <w:pStyle w:val="Normal"/>
        <w:jc w:val="both"/>
        <w:rPr>
          <w:u w:val="none" w:color="FF0000"/>
        </w:rPr>
      </w:pPr>
      <w:r>
        <w:rPr>
          <w:u w:val="none"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Pr/>
        <w:t>D.P.R. 29 ottobre 2012 n. 263</w:t>
      </w:r>
      <w:r>
        <w:rPr>
          <w:u w:val="none" w:color="FF0000"/>
        </w:rPr>
        <w:t>, competente del distretto dal quale è stato trasferito nell'ultimo ottennio, considerando a tali fini le cattedre disponibili nel comune.</w:t>
      </w:r>
    </w:p>
    <w:p>
      <w:pPr>
        <w:pStyle w:val="Normal"/>
        <w:jc w:val="both"/>
        <w:rPr>
          <w:u w:val="none" w:color="FF0000"/>
        </w:rPr>
      </w:pPr>
      <w:r>
        <w:rPr>
          <w:u w:val="none"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pPr>
        <w:pStyle w:val="Normal"/>
        <w:jc w:val="both"/>
        <w:rPr>
          <w:u w:val="none" w:color="FF0000"/>
        </w:rPr>
      </w:pPr>
      <w:r>
        <w:rPr>
          <w:u w:val="none"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pPr>
        <w:pStyle w:val="Normal"/>
        <w:jc w:val="both"/>
        <w:rPr>
          <w:u w:val="none" w:color="FF0000"/>
        </w:rPr>
      </w:pPr>
      <w:r>
        <w:rPr>
          <w:u w:val="none" w:color="FF0000"/>
        </w:rPr>
        <w:t>Permane, tuttavia, anche negli anni successivi, mantenendo il punteggio di continuità, il diritto al rientro nella scuola e nel comune di precedente titolarità, entro i limiti dell’ottennio iniziale.</w:t>
      </w:r>
    </w:p>
    <w:p>
      <w:pPr>
        <w:pStyle w:val="Normal"/>
        <w:jc w:val="both"/>
        <w:rPr>
          <w:u w:val="none" w:color="FF0000"/>
        </w:rPr>
      </w:pPr>
      <w:r>
        <w:rPr>
          <w:u w:val="none"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pPr>
        <w:pStyle w:val="Normal"/>
        <w:jc w:val="both"/>
        <w:rPr>
          <w:u w:val="none" w:color="FF0000"/>
        </w:rPr>
      </w:pPr>
      <w:r>
        <w:rPr>
          <w:u w:val="none" w:color="FF0000"/>
        </w:rPr>
      </w:r>
    </w:p>
    <w:p>
      <w:pPr>
        <w:pStyle w:val="Normal"/>
        <w:jc w:val="both"/>
        <w:rPr>
          <w:u w:val="none" w:color="FF0000"/>
        </w:rPr>
      </w:pPr>
      <w:r>
        <w:rPr>
          <w:u w:val="none" w:color="FF0000"/>
        </w:rPr>
        <w:t>V) ASSISTENZA AL CONIUGE, ED AL FIGLIO CON DISABILITA’; ASSISTENZA DA PARTE DEL FIGLIO REFERENTE UNICO AL GENITORE CON DISABILITA’; ASSISTENZA DA PARTE DI CHI ESERCITA LA TUTELA LEGALE</w:t>
      </w:r>
    </w:p>
    <w:p>
      <w:pPr>
        <w:pStyle w:val="Normal"/>
        <w:jc w:val="both"/>
        <w:rPr>
          <w:u w:val="none" w:color="FF0000"/>
        </w:rPr>
      </w:pPr>
      <w:r>
        <w:rPr>
          <w:u w:val="none" w:color="FF0000"/>
        </w:rPr>
      </w:r>
    </w:p>
    <w:p>
      <w:pPr>
        <w:pStyle w:val="Normal"/>
        <w:jc w:val="both"/>
        <w:rPr>
          <w:u w:val="none" w:color="FF0000"/>
        </w:rPr>
      </w:pPr>
      <w:r>
        <w:rPr>
          <w:u w:val="none"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pPr>
        <w:pStyle w:val="Normal"/>
        <w:jc w:val="both"/>
        <w:rPr>
          <w:u w:val="none" w:color="FF0000"/>
        </w:rPr>
      </w:pPr>
      <w:r>
        <w:rPr>
          <w:u w:val="none"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pPr>
        <w:pStyle w:val="Normal"/>
        <w:jc w:val="both"/>
        <w:rPr>
          <w:u w:val="none" w:color="FF0000"/>
        </w:rPr>
      </w:pPr>
      <w:r>
        <w:rPr>
          <w:u w:val="none" w:color="FF0000"/>
        </w:rPr>
        <w:t>Successivamente tale precedenza viene riconosciuta  per l’assistenza al coniuge e, limitatamente alla fase A al solo figlio individuato come referente unico che presta assistenza al genitore disabile in situazione di gravità.</w:t>
      </w:r>
    </w:p>
    <w:p>
      <w:pPr>
        <w:pStyle w:val="Normal"/>
        <w:jc w:val="both"/>
        <w:rPr>
          <w:u w:val="none" w:color="FF0000"/>
        </w:rPr>
      </w:pPr>
      <w:r>
        <w:rPr>
          <w:u w:val="none" w:color="FF0000"/>
        </w:rPr>
        <w:t>In caso di figlio che assiste un genitore in qualità di referente unico, la precedenza viene riconosciuta in presenza di tutte le sotto elencate condizioni:</w:t>
      </w:r>
    </w:p>
    <w:p>
      <w:pPr>
        <w:pStyle w:val="Normal"/>
        <w:numPr>
          <w:ilvl w:val="0"/>
          <w:numId w:val="1"/>
        </w:numPr>
        <w:ind w:left="360" w:hanging="357"/>
        <w:jc w:val="both"/>
        <w:rPr>
          <w:u w:val="none" w:color="FF0000"/>
        </w:rPr>
      </w:pPr>
      <w:r>
        <w:rPr>
          <w:u w:val="none" w:color="FF0000"/>
        </w:rPr>
        <w:t>documentata  impossibilità del coniuge di provvedere all’assistenza per motivi oggettivi;</w:t>
      </w:r>
    </w:p>
    <w:p>
      <w:pPr>
        <w:pStyle w:val="Normal"/>
        <w:numPr>
          <w:ilvl w:val="0"/>
          <w:numId w:val="1"/>
        </w:numPr>
        <w:ind w:left="360" w:hanging="357"/>
        <w:jc w:val="both"/>
        <w:rPr>
          <w:u w:val="none" w:color="FF0000"/>
        </w:rPr>
      </w:pPr>
      <w:r>
        <w:rPr>
          <w:u w:val="none"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pPr>
        <w:pStyle w:val="Normal"/>
        <w:numPr>
          <w:ilvl w:val="0"/>
          <w:numId w:val="1"/>
        </w:numPr>
        <w:ind w:left="360" w:hanging="357"/>
        <w:jc w:val="both"/>
        <w:rPr>
          <w:u w:val="none" w:color="FF0000"/>
        </w:rPr>
      </w:pPr>
      <w:r>
        <w:rPr>
          <w:u w:val="none"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pPr>
        <w:pStyle w:val="Normal"/>
        <w:jc w:val="both"/>
        <w:rPr>
          <w:u w:val="none" w:color="FF0000"/>
        </w:rPr>
      </w:pPr>
      <w:r>
        <w:rPr>
          <w:u w:val="none"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pPr>
        <w:pStyle w:val="Normal"/>
        <w:jc w:val="both"/>
        <w:rPr>
          <w:u w:val="single" w:color="FF0000"/>
        </w:rPr>
      </w:pPr>
      <w:r>
        <w:rPr>
          <w:u w:val="none"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pPr>
        <w:pStyle w:val="Normal"/>
        <w:jc w:val="both"/>
        <w:rPr>
          <w:u w:val="none" w:color="FF0000"/>
        </w:rPr>
      </w:pPr>
      <w:r>
        <w:rPr>
          <w:u w:val="none" w:color="FF0000"/>
        </w:rPr>
        <w:t>In assenza di posti richiedibili nel comune ove risulti domiciliato il soggetto disabile è obbligatorio indicare il comune o ambito viciniore a quello del domicilio dell’assistito con posti richiedibili (8).</w:t>
      </w:r>
    </w:p>
    <w:p>
      <w:pPr>
        <w:pStyle w:val="Normal"/>
        <w:jc w:val="both"/>
        <w:rPr>
          <w:u w:val="none" w:color="FF0000"/>
        </w:rPr>
      </w:pPr>
      <w:r>
        <w:rPr>
          <w:u w:val="none"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pPr>
        <w:pStyle w:val="Normal"/>
        <w:jc w:val="both"/>
        <w:rPr>
          <w:u w:val="single" w:color="FF0000"/>
        </w:rPr>
      </w:pPr>
      <w:r>
        <w:rPr>
          <w:u w:val="none"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pPr>
        <w:pStyle w:val="Normal"/>
        <w:jc w:val="both"/>
        <w:rPr>
          <w:u w:val="none" w:color="FF0000"/>
        </w:rPr>
      </w:pPr>
      <w:r>
        <w:rPr>
          <w:u w:val="none"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pPr>
        <w:pStyle w:val="Normal"/>
        <w:jc w:val="both"/>
        <w:rPr>
          <w:u w:val="none" w:color="FF0000"/>
        </w:rPr>
      </w:pPr>
      <w:r>
        <w:rPr>
          <w:u w:val="none" w:color="FF0000"/>
        </w:rPr>
        <w:t>La particolare condizione fisica che dà titolo alla precedenza di cui al presente punto V) nella mobilità a domanda deve avere carattere permanente. Tale disposizione non trova applicazione nel caso dei figli disabili.</w:t>
      </w:r>
    </w:p>
    <w:p>
      <w:pPr>
        <w:pStyle w:val="Normal"/>
        <w:jc w:val="both"/>
        <w:rPr>
          <w:u w:val="none" w:color="FF0000"/>
        </w:rPr>
      </w:pPr>
      <w:r>
        <w:rPr>
          <w:u w:val="none" w:color="FF0000"/>
        </w:rPr>
        <w:t xml:space="preserve">Per beneficiare della precedenza prevista dall’art. 33, della legge n. 104/92, gli interessati dovranno produrre apposita certificazione secondo le indicazioni riportate nella O.M. </w:t>
      </w:r>
    </w:p>
    <w:p>
      <w:pPr>
        <w:pStyle w:val="Normal"/>
        <w:jc w:val="both"/>
        <w:rPr>
          <w:u w:val="none" w:color="FF0000"/>
        </w:rPr>
      </w:pPr>
      <w:r>
        <w:rPr>
          <w:u w:val="none" w:color="FF0000"/>
        </w:rPr>
        <w:t>La predetta certificazione deve essere prodotta contestualmente alla domanda di trasferimento.</w:t>
      </w:r>
    </w:p>
    <w:p>
      <w:pPr>
        <w:pStyle w:val="Normal"/>
        <w:jc w:val="both"/>
        <w:rPr>
          <w:u w:val="none" w:color="FF0000"/>
        </w:rPr>
      </w:pPr>
      <w:r>
        <w:rPr>
          <w:u w:val="none" w:color="FF0000"/>
        </w:rPr>
      </w:r>
    </w:p>
    <w:p>
      <w:pPr>
        <w:pStyle w:val="Normal"/>
        <w:jc w:val="both"/>
        <w:rPr>
          <w:u w:val="none" w:color="FF0000"/>
        </w:rPr>
      </w:pPr>
      <w:r>
        <w:rPr>
          <w:u w:val="none" w:color="FF0000"/>
        </w:rPr>
      </w:r>
    </w:p>
    <w:p>
      <w:pPr>
        <w:pStyle w:val="Normal"/>
        <w:jc w:val="both"/>
        <w:rPr>
          <w:u w:val="none" w:color="FF0000"/>
        </w:rPr>
      </w:pPr>
      <w:r>
        <w:rPr>
          <w:u w:val="none" w:color="FF0000"/>
        </w:rPr>
        <w:t xml:space="preserve">VI) PERSONALE CONIUGE DI MILITARE O DI CATEGORIA EQUIPARATA </w:t>
      </w:r>
    </w:p>
    <w:p>
      <w:pPr>
        <w:pStyle w:val="Normal"/>
        <w:jc w:val="both"/>
        <w:rPr>
          <w:u w:val="none" w:color="FF0000"/>
        </w:rPr>
      </w:pPr>
      <w:r>
        <w:rPr>
          <w:u w:val="none" w:color="FF0000"/>
        </w:rPr>
      </w:r>
    </w:p>
    <w:p>
      <w:pPr>
        <w:pStyle w:val="Normal"/>
        <w:jc w:val="both"/>
        <w:rPr>
          <w:u w:val="none" w:color="FF0000"/>
        </w:rPr>
      </w:pPr>
      <w:r>
        <w:rPr>
          <w:u w:val="none"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pPr>
        <w:pStyle w:val="Normal"/>
        <w:jc w:val="both"/>
        <w:rPr>
          <w:u w:val="none" w:color="FF0000"/>
        </w:rPr>
      </w:pPr>
      <w:r>
        <w:rPr>
          <w:u w:val="none" w:color="FF0000"/>
        </w:rPr>
        <w:t>Per fruire di tale precedenza gli interessati dovranno contrassegnare l'apposita casella del modulo domanda ed allegare la documentazione prevista dell’OM</w:t>
      </w:r>
    </w:p>
    <w:p>
      <w:pPr>
        <w:pStyle w:val="Normal"/>
        <w:jc w:val="both"/>
        <w:rPr>
          <w:u w:val="none" w:color="FF0000"/>
        </w:rPr>
      </w:pPr>
      <w:r>
        <w:rPr>
          <w:u w:val="none"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pPr>
        <w:pStyle w:val="Normal"/>
        <w:jc w:val="both"/>
        <w:rPr>
          <w:u w:val="none" w:color="FF0000"/>
        </w:rPr>
      </w:pPr>
      <w:r>
        <w:rPr>
          <w:u w:val="none" w:color="FF0000"/>
        </w:rPr>
        <w:t>Dopo tali scadenze, infatti, le predette esigenze di ricongiungimento al coniuge trasferito, possono essere esaminate solo in sede di operazioni di assegnazione provvisoria</w:t>
      </w:r>
    </w:p>
    <w:p>
      <w:pPr>
        <w:pStyle w:val="Normal"/>
        <w:jc w:val="both"/>
        <w:rPr>
          <w:u w:val="none" w:color="FF0000"/>
        </w:rPr>
      </w:pPr>
      <w:r>
        <w:rPr>
          <w:u w:val="none" w:color="FF0000"/>
        </w:rPr>
      </w:r>
    </w:p>
    <w:p>
      <w:pPr>
        <w:pStyle w:val="Normal"/>
        <w:jc w:val="both"/>
        <w:rPr>
          <w:u w:val="none" w:color="FF0000"/>
        </w:rPr>
      </w:pPr>
      <w:r>
        <w:rPr>
          <w:u w:val="none" w:color="FF0000"/>
        </w:rPr>
        <w:t>VII) PERSONALE CHE RICOPRE CARICHE PUBBLICHE NELLE AMMINISTRAZIONI DEGLI ENTI LOCALI</w:t>
      </w:r>
    </w:p>
    <w:p>
      <w:pPr>
        <w:pStyle w:val="Normal"/>
        <w:jc w:val="both"/>
        <w:rPr>
          <w:u w:val="none" w:color="FF0000"/>
        </w:rPr>
      </w:pPr>
      <w:r>
        <w:rPr>
          <w:u w:val="none" w:color="FF0000"/>
        </w:rPr>
      </w:r>
    </w:p>
    <w:p>
      <w:pPr>
        <w:pStyle w:val="Normal"/>
        <w:jc w:val="both"/>
        <w:rPr>
          <w:u w:val="none" w:color="FF0000"/>
        </w:rPr>
      </w:pPr>
      <w:r>
        <w:rPr>
          <w:u w:val="none"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pPr>
        <w:pStyle w:val="Normal"/>
        <w:jc w:val="both"/>
        <w:rPr>
          <w:u w:val="none" w:color="FF0000"/>
        </w:rPr>
      </w:pPr>
      <w:r>
        <w:rPr>
          <w:u w:val="none" w:color="FF0000"/>
        </w:rPr>
        <w:t>Tale precedenza, pertanto, non si applica ai movimenti comunali della fase A dei trasferimenti ed alla mobilità professionale.</w:t>
      </w:r>
    </w:p>
    <w:p>
      <w:pPr>
        <w:pStyle w:val="Normal"/>
        <w:jc w:val="both"/>
        <w:rPr>
          <w:u w:val="none" w:color="FF0000"/>
        </w:rPr>
      </w:pPr>
      <w:r>
        <w:rPr>
          <w:u w:val="none" w:color="FF0000"/>
        </w:rPr>
        <w:t>L’esercizio del mandato deve sussistere entro dieci giorni prima del termine ultimo di comunicazione al SIDI delle domande.</w:t>
      </w:r>
    </w:p>
    <w:p>
      <w:pPr>
        <w:pStyle w:val="Normal"/>
        <w:jc w:val="both"/>
        <w:rPr>
          <w:u w:val="none" w:color="FF0000"/>
        </w:rPr>
      </w:pPr>
      <w:r>
        <w:rPr>
          <w:u w:val="none"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pPr>
        <w:pStyle w:val="Normal"/>
        <w:jc w:val="both"/>
        <w:rPr>
          <w:u w:val="none" w:color="FF0000"/>
        </w:rPr>
      </w:pPr>
      <w:r>
        <w:rPr>
          <w:u w:val="none" w:color="FF0000"/>
        </w:rPr>
      </w:r>
    </w:p>
    <w:p>
      <w:pPr>
        <w:pStyle w:val="Normal"/>
        <w:jc w:val="both"/>
        <w:rPr>
          <w:u w:val="none" w:color="FF0000"/>
        </w:rPr>
      </w:pPr>
      <w:r>
        <w:rPr>
          <w:u w:val="none" w:color="FF0000"/>
        </w:rPr>
        <w:t xml:space="preserve">VIII) PERSONALE CHE RIPRENDE SERVIZIO AL TERMINE DELL’ASPETTATIVA SINDACALE DI CUI AL C.C.N.Q. SOTTOSCRITTO IL 7/8/1998 </w:t>
      </w:r>
    </w:p>
    <w:p>
      <w:pPr>
        <w:pStyle w:val="Normal"/>
        <w:jc w:val="both"/>
        <w:rPr>
          <w:u w:val="single" w:color="FF0000"/>
        </w:rPr>
      </w:pPr>
      <w:r>
        <w:rPr>
          <w:u w:val="single" w:color="FF0000"/>
        </w:rPr>
      </w:r>
    </w:p>
    <w:p>
      <w:pPr>
        <w:pStyle w:val="Normal"/>
        <w:jc w:val="both"/>
        <w:rPr>
          <w:u w:val="none" w:color="FF0000"/>
        </w:rPr>
      </w:pPr>
      <w:r>
        <w:rPr>
          <w:u w:val="none"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pPr>
        <w:pStyle w:val="Normal"/>
        <w:jc w:val="both"/>
        <w:rPr>
          <w:u w:val="none" w:color="FF0000"/>
        </w:rPr>
      </w:pPr>
      <w:r>
        <w:rPr>
          <w:u w:val="none" w:color="FF0000"/>
        </w:rPr>
        <w:t>Tale precedenza non si applica alla fase A dei trasferimenti ed alla mobilità professionale.</w:t>
      </w:r>
    </w:p>
    <w:p>
      <w:pPr>
        <w:pStyle w:val="Normal"/>
        <w:jc w:val="both"/>
        <w:rPr>
          <w:u w:val="single"/>
        </w:rPr>
      </w:pPr>
      <w:r>
        <w:rPr>
          <w:u w:val="none"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pPr>
        <w:pStyle w:val="Normal"/>
        <w:jc w:val="both"/>
        <w:rPr>
          <w:u w:val="single" w:color="FF0000"/>
        </w:rPr>
      </w:pPr>
      <w:r>
        <w:rPr>
          <w:u w:val="single" w:color="FF0000"/>
        </w:rPr>
      </w:r>
    </w:p>
    <w:p>
      <w:pPr>
        <w:pStyle w:val="Normal"/>
        <w:jc w:val="both"/>
        <w:rPr>
          <w:u w:val="none" w:color="FF0000"/>
        </w:rPr>
      </w:pPr>
      <w:r>
        <w:rPr>
          <w:u w:val="none" w:color="FF0000"/>
        </w:rPr>
      </w:r>
    </w:p>
    <w:p>
      <w:pPr>
        <w:pStyle w:val="Normal"/>
        <w:jc w:val="both"/>
        <w:rPr>
          <w:u w:val="none" w:color="FF0000"/>
        </w:rPr>
      </w:pPr>
      <w:r>
        <w:rPr>
          <w:u w:val="none" w:color="FF0000"/>
        </w:rPr>
        <w:t>2. ESCLUSIONE DALLA GRADUATORIA D’ISTITUTO PER L’INDIVIDUAZIONE DEI PERDENTI POSTO.</w:t>
      </w:r>
    </w:p>
    <w:p>
      <w:pPr>
        <w:pStyle w:val="Normal"/>
        <w:jc w:val="both"/>
        <w:rPr>
          <w:u w:val="none" w:color="FF0000"/>
        </w:rPr>
      </w:pPr>
      <w:r>
        <w:rPr>
          <w:u w:val="none"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pPr>
        <w:pStyle w:val="Normal"/>
        <w:ind w:right="-50" w:hanging="0"/>
        <w:jc w:val="both"/>
        <w:rPr>
          <w:u w:val="none" w:color="FF0000"/>
        </w:rPr>
      </w:pPr>
      <w:r>
        <w:rPr>
          <w:u w:val="none" w:color="FF0000"/>
        </w:rPr>
        <w:t>L’esclusione dalla graduatoria interna per i beneficiari della precedenza di cui al punto V si applica solo se si è titolari in scuola ubicata nella stessa provincia del domicilio dell’assistito.</w:t>
      </w:r>
    </w:p>
    <w:p>
      <w:pPr>
        <w:pStyle w:val="Normal"/>
        <w:ind w:right="-50" w:hanging="0"/>
        <w:jc w:val="both"/>
        <w:rPr>
          <w:u w:val="none" w:color="FF0000"/>
        </w:rPr>
      </w:pPr>
      <w:r>
        <w:rPr>
          <w:u w:val="none"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pPr>
        <w:pStyle w:val="Normal"/>
        <w:ind w:right="-50" w:hanging="0"/>
        <w:jc w:val="both"/>
        <w:rPr>
          <w:u w:val="none" w:color="FF0000"/>
        </w:rPr>
      </w:pPr>
      <w:r>
        <w:rPr>
          <w:u w:val="none" w:color="FF0000"/>
        </w:rPr>
        <w:t>Quanto sopra non si applica qualora la scuola di titolarità comprenda sedi (plessi, sezioni associate) ubicate nel comune o distretto sub comunale del domicilio del familiare assistito.</w:t>
      </w:r>
    </w:p>
    <w:p>
      <w:pPr>
        <w:pStyle w:val="Normal"/>
        <w:ind w:right="-50" w:hanging="0"/>
        <w:jc w:val="both"/>
        <w:rPr>
          <w:u w:val="none" w:color="FF0000"/>
        </w:rPr>
      </w:pPr>
      <w:r>
        <w:rPr>
          <w:u w:val="none"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pPr>
        <w:pStyle w:val="Normal"/>
        <w:ind w:right="-50" w:hanging="0"/>
        <w:jc w:val="both"/>
        <w:rPr>
          <w:u w:val="none" w:color="FF0000"/>
        </w:rPr>
      </w:pPr>
      <w:r>
        <w:rPr>
          <w:u w:val="none" w:color="FF0000"/>
        </w:rPr>
        <w:t>Per gli amministratori degli Enti Locali tale esclusione va applicata solo durante l’esercizio del mandato amministrativo e solo se titolari nella stessa provincia in cui si è amministratore degli EE.LL.</w:t>
      </w:r>
    </w:p>
    <w:p>
      <w:pPr>
        <w:pStyle w:val="Normal"/>
        <w:ind w:right="-50" w:hanging="0"/>
        <w:jc w:val="both"/>
        <w:rPr>
          <w:u w:val="none" w:color="FF0000"/>
        </w:rPr>
      </w:pPr>
      <w:r>
        <w:rPr>
          <w:u w:val="none" w:color="FF0000"/>
        </w:rPr>
        <w:t>Nel caso in cui la contrazione di organico sia tale da rendere necessario anche il coinvolgimento delle predette categorie, il personale in questione sarà graduato seguendo l’ordine di cui sopra.</w:t>
      </w:r>
    </w:p>
    <w:p>
      <w:pPr>
        <w:pStyle w:val="Normal"/>
        <w:ind w:right="-50" w:hanging="0"/>
        <w:jc w:val="both"/>
        <w:rPr>
          <w:u w:val="none" w:color="FF0000"/>
        </w:rPr>
      </w:pPr>
      <w:r>
        <w:rPr>
          <w:u w:val="none"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pPr>
        <w:pStyle w:val="Normal"/>
        <w:ind w:right="-50" w:hanging="0"/>
        <w:jc w:val="both"/>
        <w:rPr>
          <w:u w:val="none" w:color="FF0000"/>
        </w:rPr>
      </w:pPr>
      <w:r>
        <w:rPr>
          <w:u w:val="none"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pPr>
        <w:pStyle w:val="Normal"/>
        <w:jc w:val="both"/>
        <w:rPr>
          <w:u w:val="none" w:color="FF0000"/>
        </w:rPr>
      </w:pPr>
      <w:r>
        <w:rPr>
          <w:u w:val="none" w:color="FF0000"/>
        </w:rPr>
      </w:r>
    </w:p>
    <w:p>
      <w:pPr>
        <w:pStyle w:val="Normal"/>
        <w:jc w:val="both"/>
        <w:rPr>
          <w:u w:val="none" w:color="FF0000"/>
        </w:rPr>
      </w:pPr>
      <w:r>
        <w:rPr>
          <w:u w:val="none" w:color="FF0000"/>
        </w:rPr>
        <w:t>3. CAMPO DI APPLICAZIONE DEL SISTEMA DELLE PRECEDENZE</w:t>
      </w:r>
    </w:p>
    <w:p>
      <w:pPr>
        <w:pStyle w:val="Normal"/>
        <w:jc w:val="both"/>
        <w:rPr>
          <w:u w:val="none" w:color="FF0000"/>
        </w:rPr>
      </w:pPr>
      <w:r>
        <w:rPr>
          <w:u w:val="none"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pPr>
        <w:pStyle w:val="Normal"/>
        <w:jc w:val="both"/>
        <w:rPr>
          <w:u w:val="none" w:color="FF0000"/>
        </w:rPr>
      </w:pPr>
      <w:r>
        <w:rPr>
          <w:u w:val="none" w:color="FF0000"/>
        </w:rPr>
        <w:t>b) Le precedenze comuni di cui al comma 2 sono riconosciute solo ai fini dell’esclusione dalla graduatoria d’istituto per l’individuazione dei perdenti posto, compresa l’individuazione del perdente posto a seguito di dimensionamento.</w:t>
      </w:r>
    </w:p>
    <w:p>
      <w:pPr>
        <w:pStyle w:val="Normal"/>
        <w:jc w:val="both"/>
        <w:rPr>
          <w:u w:val="none" w:color="FF0000"/>
        </w:rPr>
      </w:pPr>
      <w:r>
        <w:rPr>
          <w:u w:val="none"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pPr>
        <w:pStyle w:val="Normal"/>
        <w:jc w:val="both"/>
        <w:rPr>
          <w:u w:val="none" w:color="FF0000"/>
        </w:rPr>
      </w:pPr>
      <w:r>
        <w:rPr>
          <w:u w:val="none" w:color="FF0000"/>
        </w:rPr>
      </w:r>
    </w:p>
    <w:p>
      <w:pPr>
        <w:pStyle w:val="Normal"/>
        <w:jc w:val="both"/>
        <w:rPr>
          <w:u w:val="none" w:color="FF0000"/>
        </w:rPr>
      </w:pPr>
      <w:r>
        <w:rPr>
          <w:u w:val="none" w:color="FF0000"/>
        </w:rPr>
        <w:t>4. DECADENZA DAL BENEFICIO DELLE PRECEDENZE</w:t>
      </w:r>
    </w:p>
    <w:p>
      <w:pPr>
        <w:pStyle w:val="Normal"/>
        <w:jc w:val="both"/>
        <w:rPr>
          <w:u w:val="none" w:color="FF0000"/>
        </w:rPr>
      </w:pPr>
      <w:r>
        <w:rPr>
          <w:u w:val="none"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pPr>
        <w:pStyle w:val="Normal"/>
        <w:jc w:val="both"/>
        <w:rPr>
          <w:u w:val="none" w:color="FF0000"/>
        </w:rPr>
      </w:pPr>
      <w:r>
        <w:rPr>
          <w:u w:val="none" w:color="FF0000"/>
        </w:rPr>
        <w:t>__________________</w:t>
      </w:r>
    </w:p>
    <w:p>
      <w:pPr>
        <w:pStyle w:val="Normal"/>
        <w:jc w:val="both"/>
        <w:rPr>
          <w:i/>
          <w:i/>
          <w:u w:val="none" w:color="FF0000"/>
        </w:rPr>
      </w:pPr>
      <w:r>
        <w:rPr>
          <w:i/>
          <w:u w:val="none"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pPr>
        <w:pStyle w:val="Normal"/>
        <w:jc w:val="both"/>
        <w:rPr>
          <w:i/>
          <w:i/>
          <w:u w:val="none" w:color="FF0000"/>
        </w:rPr>
      </w:pPr>
      <w:r>
        <w:rPr>
          <w:i/>
          <w:u w:val="none"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pPr>
        <w:pStyle w:val="Normal"/>
        <w:jc w:val="both"/>
        <w:rPr>
          <w:i/>
          <w:i/>
          <w:u w:val="none" w:color="FF0000"/>
        </w:rPr>
      </w:pPr>
      <w:r>
        <w:rPr>
          <w:i/>
          <w:u w:val="none"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pPr>
        <w:pStyle w:val="Normal"/>
        <w:jc w:val="both"/>
        <w:rPr>
          <w:i/>
          <w:i/>
          <w:u w:val="none" w:color="FF0000"/>
        </w:rPr>
      </w:pPr>
      <w:r>
        <w:rPr>
          <w:i/>
          <w:u w:val="none"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pPr>
        <w:pStyle w:val="Normal"/>
        <w:jc w:val="both"/>
        <w:rPr>
          <w:i/>
          <w:i/>
          <w:u w:val="none" w:color="FF0000"/>
        </w:rPr>
      </w:pPr>
      <w:r>
        <w:rPr>
          <w:i/>
          <w:u w:val="none" w:color="FF0000"/>
        </w:rPr>
        <w:t>5) In caso di più aventi diritto, la precedenza viene attribuita secondo l'ordine di graduatoria indipendentemente dall'anno scolastico di trasferimento per soppressione di posto o cattedra.</w:t>
      </w:r>
    </w:p>
    <w:p>
      <w:pPr>
        <w:pStyle w:val="Normal"/>
        <w:jc w:val="both"/>
        <w:rPr>
          <w:i/>
          <w:i/>
          <w:u w:val="none" w:color="FF0000"/>
        </w:rPr>
      </w:pPr>
      <w:r>
        <w:rPr>
          <w:i/>
          <w:u w:val="none" w:color="FF0000"/>
        </w:rPr>
        <w:t>6) E’ equiparato il personale perdente posto trasferito d’ufficio senza aver presentato domanda.</w:t>
      </w:r>
    </w:p>
    <w:p>
      <w:pPr>
        <w:pStyle w:val="Normal"/>
        <w:jc w:val="both"/>
        <w:rPr>
          <w:i/>
          <w:i/>
          <w:u w:val="none" w:color="FF0000"/>
        </w:rPr>
      </w:pPr>
      <w:r>
        <w:rPr>
          <w:i/>
          <w:u w:val="none" w:color="FF0000"/>
        </w:rPr>
        <w:t>7) L’obbligo quinquennale di permanenza su posto di sostegno non si applica nei confronti dei</w:t>
      </w:r>
      <w:r>
        <w:rPr>
          <w:u w:val="none" w:color="FF0000"/>
        </w:rPr>
        <w:t xml:space="preserve"> </w:t>
      </w:r>
      <w:r>
        <w:rPr>
          <w:i/>
          <w:u w:val="none" w:color="FF0000"/>
        </w:rPr>
        <w:t>docenti trasferiti a domanda condizionata in quanto soprannumerari da posto comune o cattedra a posto di sostegno o DOS nella scuola secondaria di secondo grado.</w:t>
      </w:r>
    </w:p>
    <w:p>
      <w:pPr>
        <w:pStyle w:val="Normal"/>
        <w:jc w:val="both"/>
        <w:rPr>
          <w:i/>
          <w:i/>
          <w:u w:val="none" w:color="FF0000"/>
        </w:rPr>
      </w:pPr>
      <w:r>
        <w:rPr>
          <w:i/>
          <w:u w:val="none"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pPr>
        <w:pStyle w:val="Normal"/>
        <w:jc w:val="both"/>
        <w:rPr>
          <w:i/>
          <w:i/>
          <w:u w:val="none" w:color="FF0000"/>
        </w:rPr>
      </w:pPr>
      <w:r>
        <w:rPr>
          <w:i/>
          <w:u w:val="none"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pPr>
        <w:pStyle w:val="Normal"/>
        <w:jc w:val="both"/>
        <w:rPr>
          <w:u w:val="none" w:color="FF0000"/>
          <w:lang w:eastAsia="en-US"/>
        </w:rPr>
      </w:pPr>
      <w:r>
        <w:rPr>
          <w:u w:val="none" w:color="FF0000"/>
          <w:lang w:eastAsia="en-US"/>
        </w:rPr>
      </w:r>
    </w:p>
    <w:p>
      <w:pPr>
        <w:pStyle w:val="Normal"/>
        <w:jc w:val="both"/>
        <w:rPr>
          <w:b/>
          <w:b/>
          <w:u w:val="none" w:color="FF0000"/>
        </w:rPr>
      </w:pPr>
      <w:r>
        <w:rPr>
          <w:b/>
          <w:u w:val="none" w:color="FF0000"/>
        </w:rPr>
        <w:t>ART. 14 - ASSISTENZA AI FAMILIARI DISABILI</w:t>
      </w:r>
    </w:p>
    <w:p>
      <w:pPr>
        <w:pStyle w:val="Normal"/>
        <w:jc w:val="both"/>
        <w:rPr>
          <w:u w:val="none" w:color="FF0000"/>
        </w:rPr>
      </w:pPr>
      <w:r>
        <w:rPr>
          <w:u w:val="none" w:color="FF0000"/>
        </w:rPr>
      </w:r>
    </w:p>
    <w:p>
      <w:pPr>
        <w:pStyle w:val="Normal"/>
        <w:jc w:val="both"/>
        <w:rPr>
          <w:u w:val="none" w:color="FF0000"/>
        </w:rPr>
      </w:pPr>
      <w:r>
        <w:rPr>
          <w:u w:val="none"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pPr>
        <w:pStyle w:val="Normal"/>
        <w:rPr/>
      </w:pPr>
      <w:r>
        <w:rPr/>
      </w:r>
    </w:p>
    <w:sectPr>
      <w:footerReference w:type="default" r:id="rId2"/>
      <w:type w:val="nextPage"/>
      <w:pgSz w:w="11906" w:h="16838"/>
      <w:pgMar w:left="1134" w:right="849" w:header="0" w:top="56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6</w:t>
    </w:r>
    <w:r>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3840"/>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locked/>
    <w:rsid w:val="004b3eac"/>
    <w:rPr>
      <w:rFonts w:ascii="Times New Roman" w:hAnsi="Times New Roman" w:cs="Times New Roman"/>
      <w:sz w:val="20"/>
      <w:szCs w:val="20"/>
      <w:lang w:eastAsia="it-IT"/>
    </w:rPr>
  </w:style>
  <w:style w:type="character" w:styleId="PidipaginaCarattere" w:customStyle="1">
    <w:name w:val="Piè di pagina Carattere"/>
    <w:basedOn w:val="DefaultParagraphFont"/>
    <w:link w:val="Pidipagina"/>
    <w:uiPriority w:val="99"/>
    <w:qFormat/>
    <w:locked/>
    <w:rsid w:val="004b3eac"/>
    <w:rPr>
      <w:rFonts w:ascii="Times New Roman" w:hAnsi="Times New Roman" w:cs="Times New Roman"/>
      <w:sz w:val="20"/>
      <w:szCs w:val="2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99"/>
    <w:qFormat/>
    <w:rsid w:val="004b3eac"/>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4b3eac"/>
    <w:pPr>
      <w:tabs>
        <w:tab w:val="clear" w:pos="708"/>
        <w:tab w:val="center" w:pos="4819" w:leader="none"/>
        <w:tab w:val="right" w:pos="9638" w:leader="none"/>
      </w:tabs>
    </w:pPr>
    <w:rPr/>
  </w:style>
  <w:style w:type="paragraph" w:styleId="Pidipagina">
    <w:name w:val="Footer"/>
    <w:basedOn w:val="Normal"/>
    <w:link w:val="PidipaginaCarattere"/>
    <w:uiPriority w:val="99"/>
    <w:rsid w:val="004b3eac"/>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99"/>
    <w:rsid w:val="000b3840"/>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LibreOffice/6.4.7.2$Windows_X86_64 LibreOffice_project/639b8ac485750d5696d7590a72ef1b496725cfb5</Application>
  <Pages>6</Pages>
  <Words>4636</Words>
  <Characters>27825</Characters>
  <CharactersWithSpaces>32346</CharactersWithSpaces>
  <Paragraphs>139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2020-03-25T07:41:00Z</dcterms:created>
  <dc:creator>Renata</dc:creator>
  <dc:description/>
  <dc:language>it-IT</dc:language>
  <cp:lastModifiedBy/>
  <dcterms:modified xsi:type="dcterms:W3CDTF">2023-03-06T14:07:02Z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